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6B" w:rsidRDefault="00C02B60">
      <w:pPr>
        <w:rPr>
          <w:rFonts w:ascii="Times New Roman" w:eastAsia="Times New Roman" w:hAnsi="Times New Roman" w:cs="Times New Roman"/>
          <w:b/>
          <w:color w:val="1A1A1A"/>
          <w:sz w:val="24"/>
          <w:szCs w:val="24"/>
        </w:rPr>
      </w:pPr>
      <w:bookmarkStart w:id="0" w:name="_GoBack"/>
      <w:bookmarkEnd w:id="0"/>
      <w:r>
        <w:rPr>
          <w:rFonts w:ascii="Times New Roman" w:eastAsia="Times New Roman" w:hAnsi="Times New Roman" w:cs="Times New Roman"/>
          <w:b/>
          <w:color w:val="1A1A1A"/>
          <w:sz w:val="24"/>
          <w:szCs w:val="24"/>
        </w:rPr>
        <w:t>1. Who qualifies under this authority?</w:t>
      </w:r>
    </w:p>
    <w:p w:rsidR="00DD696B" w:rsidRDefault="00C02B60">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7" w:lineRule="auto"/>
        <w:rPr>
          <w:rFonts w:ascii="Times New Roman" w:eastAsia="Times New Roman" w:hAnsi="Times New Roman" w:cs="Times New Roman"/>
          <w:color w:val="343434"/>
          <w:sz w:val="24"/>
          <w:szCs w:val="24"/>
        </w:rPr>
      </w:pPr>
      <w:r>
        <w:rPr>
          <w:rFonts w:ascii="Times New Roman" w:eastAsia="Times New Roman" w:hAnsi="Times New Roman" w:cs="Times New Roman"/>
          <w:color w:val="1A1A1A"/>
          <w:sz w:val="24"/>
          <w:szCs w:val="24"/>
        </w:rPr>
        <w:t>Individuals who have served a minimum of 640 hours of satisfactory service on appropriate conser</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 xml:space="preserve">ation projects as defined in the Public Lands Corps Act of 1993 and at least 120 hours were </w:t>
      </w:r>
      <w:r>
        <w:rPr>
          <w:rFonts w:ascii="Times New Roman" w:eastAsia="Times New Roman" w:hAnsi="Times New Roman" w:cs="Times New Roman"/>
          <w:color w:val="343434"/>
          <w:sz w:val="24"/>
          <w:szCs w:val="24"/>
        </w:rPr>
        <w:t>s</w:t>
      </w:r>
      <w:r>
        <w:rPr>
          <w:rFonts w:ascii="Times New Roman" w:eastAsia="Times New Roman" w:hAnsi="Times New Roman" w:cs="Times New Roman"/>
          <w:color w:val="1A1A1A"/>
          <w:sz w:val="24"/>
          <w:szCs w:val="24"/>
        </w:rPr>
        <w:t>erved on a project utilizing the Public Lands Corps legal authority</w:t>
      </w:r>
      <w:r>
        <w:rPr>
          <w:rFonts w:ascii="Times New Roman" w:eastAsia="Times New Roman" w:hAnsi="Times New Roman" w:cs="Times New Roman"/>
          <w:color w:val="343434"/>
          <w:sz w:val="24"/>
          <w:szCs w:val="24"/>
        </w:rPr>
        <w:t>.</w:t>
      </w:r>
    </w:p>
    <w:p w:rsidR="00DD696B" w:rsidRDefault="00C02B60">
      <w:pPr>
        <w:pStyle w:val="Heading3"/>
        <w:keepNext w:val="0"/>
        <w:keepLines w:val="0"/>
        <w:spacing w:before="280"/>
        <w:contextualSpacing w:val="0"/>
        <w:rPr>
          <w:rFonts w:ascii="Times New Roman" w:eastAsia="Times New Roman" w:hAnsi="Times New Roman" w:cs="Times New Roman"/>
          <w:sz w:val="24"/>
          <w:szCs w:val="24"/>
        </w:rPr>
      </w:pPr>
      <w:bookmarkStart w:id="1" w:name="_xgajjld3v6ik" w:colFirst="0" w:colLast="0"/>
      <w:bookmarkEnd w:id="1"/>
      <w:r>
        <w:rPr>
          <w:rFonts w:ascii="Times New Roman" w:eastAsia="Times New Roman" w:hAnsi="Times New Roman" w:cs="Times New Roman"/>
          <w:b/>
          <w:color w:val="1A1A1A"/>
          <w:sz w:val="24"/>
          <w:szCs w:val="24"/>
        </w:rPr>
        <w:t>2. What is an appropriate conservation project?</w:t>
      </w:r>
    </w:p>
    <w:p w:rsidR="00DD696B" w:rsidRDefault="00C02B60">
      <w:pPr>
        <w:pStyle w:val="Heading3"/>
        <w:keepNext w:val="0"/>
        <w:keepLines w:val="0"/>
        <w:spacing w:before="280"/>
        <w:contextualSpacing w:val="0"/>
        <w:rPr>
          <w:rFonts w:ascii="Times New Roman" w:eastAsia="Times New Roman" w:hAnsi="Times New Roman" w:cs="Times New Roman"/>
          <w:color w:val="1A1A1A"/>
          <w:sz w:val="24"/>
          <w:szCs w:val="24"/>
        </w:rPr>
      </w:pPr>
      <w:bookmarkStart w:id="2" w:name="_9uzeghv0uiyd" w:colFirst="0" w:colLast="0"/>
      <w:bookmarkEnd w:id="2"/>
      <w:r>
        <w:rPr>
          <w:rFonts w:ascii="Times New Roman" w:eastAsia="Times New Roman" w:hAnsi="Times New Roman" w:cs="Times New Roman"/>
          <w:color w:val="1A1A1A"/>
          <w:sz w:val="24"/>
          <w:szCs w:val="24"/>
        </w:rPr>
        <w:t xml:space="preserve">The term </w:t>
      </w:r>
      <w:r>
        <w:rPr>
          <w:rFonts w:ascii="Times New Roman" w:eastAsia="Times New Roman" w:hAnsi="Times New Roman" w:cs="Times New Roman"/>
          <w:color w:val="343434"/>
          <w:sz w:val="24"/>
          <w:szCs w:val="24"/>
        </w:rPr>
        <w:t>"</w:t>
      </w:r>
      <w:r>
        <w:rPr>
          <w:rFonts w:ascii="Times New Roman" w:eastAsia="Times New Roman" w:hAnsi="Times New Roman" w:cs="Times New Roman"/>
          <w:color w:val="1A1A1A"/>
          <w:sz w:val="24"/>
          <w:szCs w:val="24"/>
        </w:rPr>
        <w:t>appropriate conservation project</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means any project for conservation, restoration, construction or rehabilitation of natural</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cul</w:t>
      </w:r>
      <w:r>
        <w:rPr>
          <w:rFonts w:ascii="Times New Roman" w:eastAsia="Times New Roman" w:hAnsi="Times New Roman" w:cs="Times New Roman"/>
          <w:color w:val="1A1A1A"/>
          <w:sz w:val="24"/>
          <w:szCs w:val="24"/>
        </w:rPr>
        <w:t>tural</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historic</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archaeological,</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recreational or scenic resource</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 xml:space="preserve">The conservation work has been completed while the individual was </w:t>
      </w:r>
      <w:r>
        <w:rPr>
          <w:rFonts w:ascii="Times New Roman" w:eastAsia="Times New Roman" w:hAnsi="Times New Roman" w:cs="Times New Roman"/>
          <w:color w:val="343434"/>
          <w:sz w:val="24"/>
          <w:szCs w:val="24"/>
        </w:rPr>
        <w:t xml:space="preserve">a </w:t>
      </w:r>
      <w:r>
        <w:rPr>
          <w:rFonts w:ascii="Times New Roman" w:eastAsia="Times New Roman" w:hAnsi="Times New Roman" w:cs="Times New Roman"/>
          <w:color w:val="1A1A1A"/>
          <w:sz w:val="24"/>
          <w:szCs w:val="24"/>
        </w:rPr>
        <w:t xml:space="preserve">member of a qualified </w:t>
      </w:r>
      <w:r>
        <w:rPr>
          <w:rFonts w:ascii="Times New Roman" w:eastAsia="Times New Roman" w:hAnsi="Times New Roman" w:cs="Times New Roman"/>
          <w:color w:val="343434"/>
          <w:sz w:val="24"/>
          <w:szCs w:val="24"/>
        </w:rPr>
        <w:t>y</w:t>
      </w:r>
      <w:r>
        <w:rPr>
          <w:rFonts w:ascii="Times New Roman" w:eastAsia="Times New Roman" w:hAnsi="Times New Roman" w:cs="Times New Roman"/>
          <w:color w:val="1A1A1A"/>
          <w:sz w:val="24"/>
          <w:szCs w:val="24"/>
        </w:rPr>
        <w:t>outh or conser</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ation corps organization.</w:t>
      </w:r>
    </w:p>
    <w:p w:rsidR="00DD696B" w:rsidRDefault="00C02B60">
      <w:pPr>
        <w:pStyle w:val="Heading3"/>
        <w:keepNext w:val="0"/>
        <w:keepLines w:val="0"/>
        <w:spacing w:before="280" w:after="0" w:line="249" w:lineRule="auto"/>
        <w:ind w:right="80"/>
        <w:contextualSpacing w:val="0"/>
        <w:rPr>
          <w:rFonts w:ascii="Times New Roman" w:eastAsia="Times New Roman" w:hAnsi="Times New Roman" w:cs="Times New Roman"/>
          <w:b/>
          <w:color w:val="1A1A1A"/>
          <w:sz w:val="24"/>
          <w:szCs w:val="24"/>
        </w:rPr>
      </w:pPr>
      <w:bookmarkStart w:id="3" w:name="_bp21vwd14alw" w:colFirst="0" w:colLast="0"/>
      <w:bookmarkEnd w:id="3"/>
      <w:r>
        <w:rPr>
          <w:rFonts w:ascii="Times New Roman" w:eastAsia="Times New Roman" w:hAnsi="Times New Roman" w:cs="Times New Roman"/>
          <w:b/>
          <w:color w:val="1A1A1A"/>
          <w:sz w:val="24"/>
          <w:szCs w:val="24"/>
        </w:rPr>
        <w:t>3. Are all conservation projects meeting the definition of</w:t>
      </w:r>
      <w:r>
        <w:rPr>
          <w:rFonts w:ascii="Times New Roman" w:eastAsia="Times New Roman" w:hAnsi="Times New Roman" w:cs="Times New Roman"/>
          <w:b/>
          <w:color w:val="1A1A1A"/>
          <w:sz w:val="24"/>
          <w:szCs w:val="24"/>
        </w:rPr>
        <w:t xml:space="preserve"> "appropriate" conducted on Federal land?</w:t>
      </w:r>
    </w:p>
    <w:p w:rsidR="00DD696B" w:rsidRDefault="00DD696B"/>
    <w:p w:rsidR="00DD696B" w:rsidRDefault="00C02B60">
      <w:pPr>
        <w:spacing w:after="160"/>
        <w:ind w:right="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No. A conser</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ation project on State</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 xml:space="preserve">local or private land can be defined </w:t>
      </w:r>
      <w:r>
        <w:rPr>
          <w:rFonts w:ascii="Times New Roman" w:eastAsia="Times New Roman" w:hAnsi="Times New Roman" w:cs="Times New Roman"/>
          <w:color w:val="343434"/>
          <w:sz w:val="24"/>
          <w:szCs w:val="24"/>
        </w:rPr>
        <w:t>a</w:t>
      </w:r>
      <w:r>
        <w:rPr>
          <w:rFonts w:ascii="Times New Roman" w:eastAsia="Times New Roman" w:hAnsi="Times New Roman" w:cs="Times New Roman"/>
          <w:color w:val="1A1A1A"/>
          <w:sz w:val="24"/>
          <w:szCs w:val="24"/>
        </w:rPr>
        <w:t>s appropriate</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These projects can count toward the overall 640 hours of service. These projects are not defined as PLC.</w:t>
      </w:r>
    </w:p>
    <w:p w:rsidR="00DD696B" w:rsidRDefault="00C02B60">
      <w:pPr>
        <w:pStyle w:val="Heading3"/>
        <w:keepNext w:val="0"/>
        <w:keepLines w:val="0"/>
        <w:spacing w:before="280" w:after="0"/>
        <w:ind w:right="80"/>
        <w:contextualSpacing w:val="0"/>
        <w:rPr>
          <w:rFonts w:ascii="Times New Roman" w:eastAsia="Times New Roman" w:hAnsi="Times New Roman" w:cs="Times New Roman"/>
          <w:b/>
          <w:color w:val="1A1A1A"/>
          <w:sz w:val="24"/>
          <w:szCs w:val="24"/>
        </w:rPr>
      </w:pPr>
      <w:bookmarkStart w:id="4" w:name="_xn7nez75z89a" w:colFirst="0" w:colLast="0"/>
      <w:bookmarkEnd w:id="4"/>
      <w:r>
        <w:rPr>
          <w:rFonts w:ascii="Times New Roman" w:eastAsia="Times New Roman" w:hAnsi="Times New Roman" w:cs="Times New Roman"/>
          <w:b/>
          <w:color w:val="1A1A1A"/>
          <w:sz w:val="24"/>
          <w:szCs w:val="24"/>
        </w:rPr>
        <w:t>4. Are all PLC projects done on Federal land?</w:t>
      </w:r>
    </w:p>
    <w:p w:rsidR="00DD696B" w:rsidRDefault="00DD696B"/>
    <w:p w:rsidR="00DD696B" w:rsidRDefault="00C02B60">
      <w:pPr>
        <w:spacing w:after="160"/>
        <w:ind w:right="80"/>
        <w:rPr>
          <w:rFonts w:ascii="Times New Roman" w:eastAsia="Times New Roman" w:hAnsi="Times New Roman" w:cs="Times New Roman"/>
          <w:b/>
          <w:sz w:val="24"/>
          <w:szCs w:val="24"/>
        </w:rPr>
      </w:pPr>
      <w:r>
        <w:rPr>
          <w:rFonts w:ascii="Times New Roman" w:eastAsia="Times New Roman" w:hAnsi="Times New Roman" w:cs="Times New Roman"/>
          <w:color w:val="1A1A1A"/>
          <w:sz w:val="24"/>
          <w:szCs w:val="24"/>
        </w:rPr>
        <w:t>Yes</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unless it is specified that the project was conducted on Indian land</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any land held by incorporated Nati</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e groups</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regional corporations</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any village corporations under the Alaska Native Claims Settlement</w:t>
      </w:r>
      <w:r>
        <w:rPr>
          <w:rFonts w:ascii="Times New Roman" w:eastAsia="Times New Roman" w:hAnsi="Times New Roman" w:cs="Times New Roman"/>
          <w:color w:val="1A1A1A"/>
          <w:sz w:val="24"/>
          <w:szCs w:val="24"/>
        </w:rPr>
        <w:t xml:space="preserve"> Act</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Hawaiian homelands or on any former Indian reservation in the State of Oklahoma.</w:t>
      </w:r>
      <w:r>
        <w:rPr>
          <w:rFonts w:ascii="Times New Roman" w:eastAsia="Times New Roman" w:hAnsi="Times New Roman" w:cs="Times New Roman"/>
          <w:b/>
          <w:sz w:val="24"/>
          <w:szCs w:val="24"/>
        </w:rPr>
        <w:t xml:space="preserve"> </w:t>
      </w:r>
    </w:p>
    <w:p w:rsidR="00DD696B" w:rsidRDefault="00C02B60">
      <w:pPr>
        <w:pStyle w:val="Heading3"/>
        <w:keepNext w:val="0"/>
        <w:keepLines w:val="0"/>
        <w:spacing w:before="280" w:after="0"/>
        <w:ind w:right="80"/>
        <w:contextualSpacing w:val="0"/>
        <w:rPr>
          <w:rFonts w:ascii="Times New Roman" w:eastAsia="Times New Roman" w:hAnsi="Times New Roman" w:cs="Times New Roman"/>
          <w:sz w:val="24"/>
          <w:szCs w:val="24"/>
        </w:rPr>
      </w:pPr>
      <w:bookmarkStart w:id="5" w:name="_iksweemhgl9c" w:colFirst="0" w:colLast="0"/>
      <w:bookmarkEnd w:id="5"/>
      <w:r>
        <w:rPr>
          <w:rFonts w:ascii="Times New Roman" w:eastAsia="Times New Roman" w:hAnsi="Times New Roman" w:cs="Times New Roman"/>
          <w:b/>
          <w:color w:val="1A1A1A"/>
          <w:sz w:val="24"/>
          <w:szCs w:val="24"/>
        </w:rPr>
        <w:t>5. What are some examples of qualified youth or conservation corps?</w:t>
      </w:r>
    </w:p>
    <w:p w:rsidR="00DD696B" w:rsidRDefault="00C02B60">
      <w:pPr>
        <w:pStyle w:val="Heading3"/>
        <w:keepNext w:val="0"/>
        <w:keepLines w:val="0"/>
        <w:spacing w:before="280" w:after="0"/>
        <w:ind w:right="80"/>
        <w:contextualSpacing w:val="0"/>
        <w:rPr>
          <w:rFonts w:ascii="Times New Roman" w:eastAsia="Times New Roman" w:hAnsi="Times New Roman" w:cs="Times New Roman"/>
          <w:color w:val="1A1A1A"/>
          <w:sz w:val="24"/>
          <w:szCs w:val="24"/>
        </w:rPr>
      </w:pPr>
      <w:bookmarkStart w:id="6" w:name="_ddwhudgua05k" w:colFirst="0" w:colLast="0"/>
      <w:bookmarkEnd w:id="6"/>
      <w:r>
        <w:rPr>
          <w:rFonts w:ascii="Times New Roman" w:eastAsia="Times New Roman" w:hAnsi="Times New Roman" w:cs="Times New Roman"/>
          <w:color w:val="1A1A1A"/>
          <w:sz w:val="24"/>
          <w:szCs w:val="24"/>
        </w:rPr>
        <w:t xml:space="preserve">Any organization that has a current cooperative agreement with the National Park Service to provide </w:t>
      </w:r>
      <w:r>
        <w:rPr>
          <w:rFonts w:ascii="Times New Roman" w:eastAsia="Times New Roman" w:hAnsi="Times New Roman" w:cs="Times New Roman"/>
          <w:color w:val="1A1A1A"/>
          <w:sz w:val="24"/>
          <w:szCs w:val="24"/>
        </w:rPr>
        <w:t>conservation project work is considered qualified.  These organizations</w:t>
      </w:r>
    </w:p>
    <w:p w:rsidR="00DD696B" w:rsidRDefault="00C02B60">
      <w:pPr>
        <w:spacing w:after="160"/>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but are not limited to the Student Conservation Association </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sz w:val="24"/>
          <w:szCs w:val="24"/>
        </w:rPr>
        <w:t>Southwest Conservation Corp</w:t>
      </w:r>
      <w:r>
        <w:rPr>
          <w:rFonts w:ascii="Times New Roman" w:eastAsia="Times New Roman" w:hAnsi="Times New Roman" w:cs="Times New Roman"/>
          <w:color w:val="343434"/>
          <w:sz w:val="24"/>
          <w:szCs w:val="24"/>
        </w:rPr>
        <w:t xml:space="preserve">s, </w:t>
      </w:r>
      <w:r>
        <w:rPr>
          <w:rFonts w:ascii="Times New Roman" w:eastAsia="Times New Roman" w:hAnsi="Times New Roman" w:cs="Times New Roman"/>
          <w:sz w:val="24"/>
          <w:szCs w:val="24"/>
        </w:rPr>
        <w:t>Montana Conser</w:t>
      </w:r>
      <w:r>
        <w:rPr>
          <w:rFonts w:ascii="Times New Roman" w:eastAsia="Times New Roman" w:hAnsi="Times New Roman" w:cs="Times New Roman"/>
          <w:color w:val="343434"/>
          <w:sz w:val="24"/>
          <w:szCs w:val="24"/>
        </w:rPr>
        <w:t>v</w:t>
      </w:r>
      <w:r>
        <w:rPr>
          <w:rFonts w:ascii="Times New Roman" w:eastAsia="Times New Roman" w:hAnsi="Times New Roman" w:cs="Times New Roman"/>
          <w:sz w:val="24"/>
          <w:szCs w:val="24"/>
        </w:rPr>
        <w:t>ation Corps</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sz w:val="24"/>
          <w:szCs w:val="24"/>
        </w:rPr>
        <w:t>etc.</w:t>
      </w:r>
    </w:p>
    <w:p w:rsidR="00DD696B" w:rsidRDefault="00DD696B">
      <w:pPr>
        <w:spacing w:after="160"/>
        <w:ind w:right="80"/>
        <w:rPr>
          <w:rFonts w:ascii="Times New Roman" w:eastAsia="Times New Roman" w:hAnsi="Times New Roman" w:cs="Times New Roman"/>
          <w:b/>
          <w:sz w:val="24"/>
          <w:szCs w:val="24"/>
        </w:rPr>
      </w:pPr>
    </w:p>
    <w:p w:rsidR="00DD696B" w:rsidRDefault="00DD696B">
      <w:pPr>
        <w:spacing w:after="160"/>
        <w:ind w:right="80"/>
        <w:rPr>
          <w:rFonts w:ascii="Times New Roman" w:eastAsia="Times New Roman" w:hAnsi="Times New Roman" w:cs="Times New Roman"/>
          <w:b/>
          <w:sz w:val="24"/>
          <w:szCs w:val="24"/>
        </w:rPr>
      </w:pPr>
    </w:p>
    <w:p w:rsidR="00DD696B" w:rsidRDefault="00DD696B">
      <w:pPr>
        <w:spacing w:after="160"/>
        <w:ind w:right="80"/>
        <w:rPr>
          <w:rFonts w:ascii="Times New Roman" w:eastAsia="Times New Roman" w:hAnsi="Times New Roman" w:cs="Times New Roman"/>
          <w:b/>
          <w:sz w:val="24"/>
          <w:szCs w:val="24"/>
        </w:rPr>
      </w:pPr>
    </w:p>
    <w:p w:rsidR="00DD696B" w:rsidRDefault="00DD696B">
      <w:pPr>
        <w:spacing w:after="160"/>
        <w:ind w:right="80"/>
        <w:rPr>
          <w:rFonts w:ascii="Times New Roman" w:eastAsia="Times New Roman" w:hAnsi="Times New Roman" w:cs="Times New Roman"/>
          <w:b/>
          <w:sz w:val="24"/>
          <w:szCs w:val="24"/>
        </w:rPr>
      </w:pPr>
    </w:p>
    <w:p w:rsidR="00DD696B" w:rsidRDefault="00C02B60">
      <w:pPr>
        <w:spacing w:after="160"/>
        <w:ind w:right="80"/>
        <w:rPr>
          <w:rFonts w:ascii="Times New Roman" w:eastAsia="Times New Roman" w:hAnsi="Times New Roman" w:cs="Times New Roman"/>
          <w:sz w:val="24"/>
          <w:szCs w:val="24"/>
        </w:rPr>
      </w:pPr>
      <w:r>
        <w:rPr>
          <w:rFonts w:ascii="Times New Roman" w:eastAsia="Times New Roman" w:hAnsi="Times New Roman" w:cs="Times New Roman"/>
          <w:b/>
          <w:sz w:val="24"/>
          <w:szCs w:val="24"/>
        </w:rPr>
        <w:t>6. Must an organization have a cooperative agreement with the National Park Service to be considered qualified?</w:t>
      </w:r>
      <w:r>
        <w:rPr>
          <w:rFonts w:ascii="Times New Roman" w:eastAsia="Times New Roman" w:hAnsi="Times New Roman" w:cs="Times New Roman"/>
          <w:sz w:val="24"/>
          <w:szCs w:val="24"/>
        </w:rPr>
        <w:t xml:space="preserve"> </w:t>
      </w:r>
    </w:p>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The organization should have documentation that they have performed conservation work on Federal, State, tribal, local or private lands an</w:t>
      </w:r>
      <w:r>
        <w:rPr>
          <w:rFonts w:ascii="Times New Roman" w:eastAsia="Times New Roman" w:hAnsi="Times New Roman" w:cs="Times New Roman"/>
          <w:sz w:val="24"/>
          <w:szCs w:val="24"/>
        </w:rPr>
        <w:t>d utilized young people between the ages of 16 and 30 years of age.  Additionally these organizations should be able to provide their organizational charter or other similar documents that support their ability to provide the above-mentioned services to yo</w:t>
      </w:r>
      <w:r>
        <w:rPr>
          <w:rFonts w:ascii="Times New Roman" w:eastAsia="Times New Roman" w:hAnsi="Times New Roman" w:cs="Times New Roman"/>
          <w:sz w:val="24"/>
          <w:szCs w:val="24"/>
        </w:rPr>
        <w:t>ung people.</w:t>
      </w:r>
    </w:p>
    <w:p w:rsidR="00DD696B" w:rsidRDefault="00C02B60">
      <w:pPr>
        <w:spacing w:line="249" w:lineRule="auto"/>
        <w:ind w:left="14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Whom do I contact if I have questions regarding the use of this authority?</w:t>
      </w:r>
    </w:p>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concerning hiring under this authority should be directed to your servicing Human Resources office or to the bureau PLC program coordinator. </w:t>
      </w:r>
    </w:p>
    <w:p w:rsidR="00DD696B" w:rsidRDefault="00C02B60">
      <w:pPr>
        <w:spacing w:line="249" w:lineRule="auto"/>
        <w:ind w:left="14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right="80"/>
        <w:rPr>
          <w:rFonts w:ascii="Times New Roman" w:eastAsia="Times New Roman" w:hAnsi="Times New Roman" w:cs="Times New Roman"/>
          <w:b/>
          <w:sz w:val="24"/>
          <w:szCs w:val="24"/>
        </w:rPr>
      </w:pPr>
      <w:r>
        <w:rPr>
          <w:rFonts w:ascii="Times New Roman" w:eastAsia="Times New Roman" w:hAnsi="Times New Roman" w:cs="Times New Roman"/>
          <w:b/>
          <w:sz w:val="24"/>
          <w:szCs w:val="24"/>
        </w:rPr>
        <w:t>8. If an individual is not appointed within 2 years of becoming eligible under the PLC authority, can their eligibility be extended?</w:t>
      </w:r>
    </w:p>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No.  An individual's eligibility for a non-competitive appointment under this authority cannot be extended beyond the 2 y</w:t>
      </w:r>
      <w:r>
        <w:rPr>
          <w:rFonts w:ascii="Times New Roman" w:eastAsia="Times New Roman" w:hAnsi="Times New Roman" w:cs="Times New Roman"/>
          <w:sz w:val="24"/>
          <w:szCs w:val="24"/>
        </w:rPr>
        <w:t>ears after the completion of their last PLC project.  It is important to understand when an individual's eligibility begins in order to determine when it will expire.  The following examples describe when eligibility for a non-competitive hiring would begi</w:t>
      </w:r>
      <w:r>
        <w:rPr>
          <w:rFonts w:ascii="Times New Roman" w:eastAsia="Times New Roman" w:hAnsi="Times New Roman" w:cs="Times New Roman"/>
          <w:sz w:val="24"/>
          <w:szCs w:val="24"/>
        </w:rPr>
        <w:t>n:</w:t>
      </w:r>
    </w:p>
    <w:p w:rsidR="00DD696B" w:rsidRDefault="00C02B60">
      <w:pPr>
        <w:spacing w:line="249" w:lineRule="auto"/>
        <w:ind w:left="14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left="1170" w:right="80" w:hanging="360"/>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rPr>
        <w:t xml:space="preserve">1.   </w:t>
      </w:r>
      <w:r>
        <w:rPr>
          <w:rFonts w:ascii="Times New Roman" w:eastAsia="Times New Roman" w:hAnsi="Times New Roman" w:cs="Times New Roman"/>
          <w:sz w:val="24"/>
          <w:szCs w:val="24"/>
        </w:rPr>
        <w:t>If a qualified individual performs their entire service on PLC projects, they become eligible for a non-competitive appointment upon completion of the end date of the last PLC project provided they have completed the total of 640 hours.  The last</w:t>
      </w:r>
      <w:r>
        <w:rPr>
          <w:rFonts w:ascii="Times New Roman" w:eastAsia="Times New Roman" w:hAnsi="Times New Roman" w:cs="Times New Roman"/>
          <w:sz w:val="24"/>
          <w:szCs w:val="24"/>
        </w:rPr>
        <w:t xml:space="preserve"> PLC project may exceed the 640 hours (i.e. 690 hours) requirement; however, the time period for a non-competitive appointment starts on the end date of the PLC project - it does NOT start on the day of the 640 hour completion.</w:t>
      </w:r>
    </w:p>
    <w:p w:rsidR="00DD696B" w:rsidRDefault="00C02B60">
      <w:pPr>
        <w:spacing w:line="249" w:lineRule="auto"/>
        <w:ind w:left="14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left="1160" w:right="80" w:hanging="360"/>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rPr>
        <w:t xml:space="preserve">2.   </w:t>
      </w:r>
      <w:r>
        <w:rPr>
          <w:rFonts w:ascii="Times New Roman" w:eastAsia="Times New Roman" w:hAnsi="Times New Roman" w:cs="Times New Roman"/>
          <w:sz w:val="24"/>
          <w:szCs w:val="24"/>
        </w:rPr>
        <w:t>If a qualified indivi</w:t>
      </w:r>
      <w:r>
        <w:rPr>
          <w:rFonts w:ascii="Times New Roman" w:eastAsia="Times New Roman" w:hAnsi="Times New Roman" w:cs="Times New Roman"/>
          <w:sz w:val="24"/>
          <w:szCs w:val="24"/>
        </w:rPr>
        <w:t>dual has completed 640 hours or more on an appropriate conservation project that does not include the 120 hours on a PLC project, they are ineligible for a non-competitive appointment until such time as they complete 120 hours on a PLC project.  Once the i</w:t>
      </w:r>
      <w:r>
        <w:rPr>
          <w:rFonts w:ascii="Times New Roman" w:eastAsia="Times New Roman" w:hAnsi="Times New Roman" w:cs="Times New Roman"/>
          <w:sz w:val="24"/>
          <w:szCs w:val="24"/>
        </w:rPr>
        <w:t>ndividual works on a PLC project and completes a 120 hours they will be eligible for noncompetitive appointment.  The time period for non-competitive appointment starts upon the date of completion of the last PLC project that provides the individual with a</w:t>
      </w:r>
      <w:r>
        <w:rPr>
          <w:rFonts w:ascii="Times New Roman" w:eastAsia="Times New Roman" w:hAnsi="Times New Roman" w:cs="Times New Roman"/>
          <w:sz w:val="24"/>
          <w:szCs w:val="24"/>
        </w:rPr>
        <w:t xml:space="preserve"> cumulative total of 120 hours.</w:t>
      </w:r>
    </w:p>
    <w:p w:rsidR="00DD696B" w:rsidRDefault="00C02B60">
      <w:pPr>
        <w:spacing w:line="249" w:lineRule="auto"/>
        <w:ind w:left="14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left="1160" w:right="80" w:hanging="360"/>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rPr>
        <w:t xml:space="preserve">3.   </w:t>
      </w:r>
      <w:r>
        <w:rPr>
          <w:rFonts w:ascii="Times New Roman" w:eastAsia="Times New Roman" w:hAnsi="Times New Roman" w:cs="Times New Roman"/>
          <w:sz w:val="24"/>
          <w:szCs w:val="24"/>
        </w:rPr>
        <w:t>If the time period for the 2 year noncompetitive eligibility has ended, the individual will have to complete another appropriate conservation project, which includes 120 hours on a PLC project to re-establish eligibil</w:t>
      </w:r>
      <w:r>
        <w:rPr>
          <w:rFonts w:ascii="Times New Roman" w:eastAsia="Times New Roman" w:hAnsi="Times New Roman" w:cs="Times New Roman"/>
          <w:sz w:val="24"/>
          <w:szCs w:val="24"/>
        </w:rPr>
        <w:t>ity for the 2 year noncompetitive hiring status.</w:t>
      </w:r>
    </w:p>
    <w:tbl>
      <w:tblPr>
        <w:tblStyle w:val="a"/>
        <w:tblW w:w="9280" w:type="dxa"/>
        <w:tblLayout w:type="fixed"/>
        <w:tblLook w:val="0600" w:firstRow="0" w:lastRow="0" w:firstColumn="0" w:lastColumn="0" w:noHBand="1" w:noVBand="1"/>
      </w:tblPr>
      <w:tblGrid>
        <w:gridCol w:w="9060"/>
        <w:gridCol w:w="220"/>
      </w:tblGrid>
      <w:tr w:rsidR="00DD696B">
        <w:tc>
          <w:tcPr>
            <w:tcW w:w="9065" w:type="dxa"/>
            <w:tcMar>
              <w:top w:w="100" w:type="dxa"/>
              <w:left w:w="100" w:type="dxa"/>
              <w:bottom w:w="100" w:type="dxa"/>
              <w:right w:w="100" w:type="dxa"/>
            </w:tcMar>
          </w:tcPr>
          <w:p w:rsidR="00DD696B" w:rsidRDefault="00DD696B">
            <w:pPr>
              <w:rPr>
                <w:rFonts w:ascii="Times New Roman" w:eastAsia="Times New Roman" w:hAnsi="Times New Roman" w:cs="Times New Roman"/>
                <w:sz w:val="24"/>
                <w:szCs w:val="24"/>
              </w:rPr>
            </w:pPr>
          </w:p>
        </w:tc>
        <w:tc>
          <w:tcPr>
            <w:tcW w:w="215" w:type="dxa"/>
            <w:tcMar>
              <w:top w:w="100" w:type="dxa"/>
              <w:left w:w="100" w:type="dxa"/>
              <w:bottom w:w="100" w:type="dxa"/>
              <w:right w:w="100" w:type="dxa"/>
            </w:tcMar>
          </w:tcPr>
          <w:p w:rsidR="00DD696B" w:rsidRDefault="00DD696B">
            <w:pPr>
              <w:rPr>
                <w:rFonts w:ascii="Times New Roman" w:eastAsia="Times New Roman" w:hAnsi="Times New Roman" w:cs="Times New Roman"/>
                <w:sz w:val="24"/>
                <w:szCs w:val="24"/>
              </w:rPr>
            </w:pPr>
          </w:p>
        </w:tc>
      </w:tr>
      <w:tr w:rsidR="00DD696B">
        <w:tc>
          <w:tcPr>
            <w:tcW w:w="9065" w:type="dxa"/>
            <w:tcMar>
              <w:top w:w="100" w:type="dxa"/>
              <w:left w:w="100" w:type="dxa"/>
              <w:bottom w:w="100" w:type="dxa"/>
              <w:right w:w="100" w:type="dxa"/>
            </w:tcMar>
          </w:tcPr>
          <w:p w:rsidR="00DD696B" w:rsidRDefault="00DD696B">
            <w:pPr>
              <w:rPr>
                <w:rFonts w:ascii="Times New Roman" w:eastAsia="Times New Roman" w:hAnsi="Times New Roman" w:cs="Times New Roman"/>
                <w:sz w:val="24"/>
                <w:szCs w:val="24"/>
              </w:rPr>
            </w:pPr>
          </w:p>
        </w:tc>
        <w:tc>
          <w:tcPr>
            <w:tcW w:w="215" w:type="dxa"/>
            <w:tcMar>
              <w:top w:w="100" w:type="dxa"/>
              <w:left w:w="100" w:type="dxa"/>
              <w:bottom w:w="100" w:type="dxa"/>
              <w:right w:w="100" w:type="dxa"/>
            </w:tcMar>
          </w:tcPr>
          <w:p w:rsidR="00DD696B" w:rsidRDefault="00DD696B">
            <w:pPr>
              <w:rPr>
                <w:rFonts w:ascii="Times New Roman" w:eastAsia="Times New Roman" w:hAnsi="Times New Roman" w:cs="Times New Roman"/>
                <w:sz w:val="24"/>
                <w:szCs w:val="24"/>
              </w:rPr>
            </w:pPr>
          </w:p>
        </w:tc>
      </w:tr>
    </w:tbl>
    <w:p w:rsidR="00DD696B" w:rsidRDefault="00C02B60">
      <w:pPr>
        <w:spacing w:line="249"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4" w:lineRule="auto"/>
        <w:ind w:right="640"/>
        <w:rPr>
          <w:rFonts w:ascii="Times New Roman" w:eastAsia="Times New Roman" w:hAnsi="Times New Roman" w:cs="Times New Roman"/>
          <w:b/>
          <w:color w:val="1A1A1A"/>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1A1A1A"/>
          <w:sz w:val="24"/>
          <w:szCs w:val="24"/>
        </w:rPr>
        <w:t>May an individual eligible for noncompetitive appointment be appointed more than once under this authority?</w:t>
      </w:r>
    </w:p>
    <w:p w:rsidR="00DD696B" w:rsidRDefault="00C02B60">
      <w:pPr>
        <w:spacing w:line="244" w:lineRule="auto"/>
        <w:ind w:left="-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D696B" w:rsidRDefault="00C02B60">
      <w:pPr>
        <w:spacing w:line="244" w:lineRule="auto"/>
        <w:ind w:left="-20" w:right="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An eligible individual may be non-competit</w:t>
      </w:r>
      <w:r>
        <w:rPr>
          <w:rFonts w:ascii="Times New Roman" w:eastAsia="Times New Roman" w:hAnsi="Times New Roman" w:cs="Times New Roman"/>
          <w:color w:val="343434"/>
          <w:sz w:val="24"/>
          <w:szCs w:val="24"/>
        </w:rPr>
        <w:t>i</w:t>
      </w:r>
      <w:r>
        <w:rPr>
          <w:rFonts w:ascii="Times New Roman" w:eastAsia="Times New Roman" w:hAnsi="Times New Roman" w:cs="Times New Roman"/>
          <w:color w:val="1A1A1A"/>
          <w:sz w:val="24"/>
          <w:szCs w:val="24"/>
        </w:rPr>
        <w:t xml:space="preserve">vely </w:t>
      </w:r>
      <w:r>
        <w:rPr>
          <w:rFonts w:ascii="Times New Roman" w:eastAsia="Times New Roman" w:hAnsi="Times New Roman" w:cs="Times New Roman"/>
          <w:color w:val="343434"/>
          <w:sz w:val="24"/>
          <w:szCs w:val="24"/>
        </w:rPr>
        <w:t>a</w:t>
      </w:r>
      <w:r>
        <w:rPr>
          <w:rFonts w:ascii="Times New Roman" w:eastAsia="Times New Roman" w:hAnsi="Times New Roman" w:cs="Times New Roman"/>
          <w:color w:val="1A1A1A"/>
          <w:sz w:val="24"/>
          <w:szCs w:val="24"/>
        </w:rPr>
        <w:t>ppointed more than once as long as it is still within the 2 year timeframe.</w:t>
      </w:r>
    </w:p>
    <w:p w:rsidR="00DD696B" w:rsidRDefault="00C02B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0" w:lineRule="auto"/>
        <w:ind w:right="8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12. What types of positions are eligible under the PLC noncompetitive hiring authority?</w:t>
      </w:r>
    </w:p>
    <w:p w:rsidR="00DD696B" w:rsidRDefault="00C02B60">
      <w:p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0" w:lineRule="auto"/>
        <w:ind w:right="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Individuals may be hired into General Schedule and Federal Wage Schedule positions.</w:t>
      </w:r>
    </w:p>
    <w:p w:rsidR="00DD696B" w:rsidRDefault="00C02B60">
      <w:pPr>
        <w:spacing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52" w:lineRule="auto"/>
        <w:ind w:right="132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13</w:t>
      </w:r>
      <w:r>
        <w:rPr>
          <w:rFonts w:ascii="Times New Roman" w:eastAsia="Times New Roman" w:hAnsi="Times New Roman" w:cs="Times New Roman"/>
          <w:b/>
          <w:color w:val="1A1A1A"/>
          <w:sz w:val="24"/>
          <w:szCs w:val="24"/>
        </w:rPr>
        <w:t>. How does an individual report their hours worked on an "appropriate conservation projects"- including hours worked on a PLC project?</w:t>
      </w:r>
    </w:p>
    <w:p w:rsidR="00DD696B" w:rsidRDefault="00C02B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96B" w:rsidRDefault="00C02B60">
      <w:pPr>
        <w:spacing w:line="249" w:lineRule="auto"/>
        <w:ind w:right="380" w:firstLine="3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corps member</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super</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isor overseeing the conser</w:t>
      </w:r>
      <w:r>
        <w:rPr>
          <w:rFonts w:ascii="Times New Roman" w:eastAsia="Times New Roman" w:hAnsi="Times New Roman" w:cs="Times New Roman"/>
          <w:color w:val="343434"/>
          <w:sz w:val="24"/>
          <w:szCs w:val="24"/>
        </w:rPr>
        <w:t>v</w:t>
      </w:r>
      <w:r>
        <w:rPr>
          <w:rFonts w:ascii="Times New Roman" w:eastAsia="Times New Roman" w:hAnsi="Times New Roman" w:cs="Times New Roman"/>
          <w:color w:val="1A1A1A"/>
          <w:sz w:val="24"/>
          <w:szCs w:val="24"/>
        </w:rPr>
        <w:t>ation project or hiring official can obtain a Public Land Corps hour</w:t>
      </w:r>
      <w:r>
        <w:rPr>
          <w:rFonts w:ascii="Times New Roman" w:eastAsia="Times New Roman" w:hAnsi="Times New Roman" w:cs="Times New Roman"/>
          <w:color w:val="1A1A1A"/>
          <w:sz w:val="24"/>
          <w:szCs w:val="24"/>
        </w:rPr>
        <w:t>s tracking log from their bureau PLC Coordinator</w:t>
      </w:r>
      <w:r>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1A1A1A"/>
          <w:sz w:val="24"/>
          <w:szCs w:val="24"/>
        </w:rPr>
        <w:t>It is the responsibility of the corps member to complete the Verification of Participant Work Hours for Conservation Projects form and obtain certification from program officials and public land agency sup</w:t>
      </w:r>
      <w:r>
        <w:rPr>
          <w:rFonts w:ascii="Times New Roman" w:eastAsia="Times New Roman" w:hAnsi="Times New Roman" w:cs="Times New Roman"/>
          <w:color w:val="1A1A1A"/>
          <w:sz w:val="24"/>
          <w:szCs w:val="24"/>
        </w:rPr>
        <w:t>ervisors overseeing the conservation projects.  At the culmination of their term of service corps members should submit their completed and signed Verification of Participant Work Hours for Conservation Projects form to a designated supervisor within the D</w:t>
      </w:r>
      <w:r>
        <w:rPr>
          <w:rFonts w:ascii="Times New Roman" w:eastAsia="Times New Roman" w:hAnsi="Times New Roman" w:cs="Times New Roman"/>
          <w:color w:val="1A1A1A"/>
          <w:sz w:val="24"/>
          <w:szCs w:val="24"/>
        </w:rPr>
        <w:t xml:space="preserve">epartment for whom the corps member last worked. </w:t>
      </w:r>
      <w:r>
        <w:rPr>
          <w:rFonts w:ascii="Times New Roman" w:eastAsia="Times New Roman" w:hAnsi="Times New Roman" w:cs="Times New Roman"/>
          <w:color w:val="343434"/>
          <w:sz w:val="24"/>
          <w:szCs w:val="24"/>
        </w:rPr>
        <w:t>The</w:t>
      </w:r>
      <w:r>
        <w:rPr>
          <w:rFonts w:ascii="Times New Roman" w:eastAsia="Times New Roman" w:hAnsi="Times New Roman" w:cs="Times New Roman"/>
          <w:color w:val="1A1A1A"/>
          <w:sz w:val="24"/>
          <w:szCs w:val="24"/>
        </w:rPr>
        <w:t xml:space="preserve"> corps member will receive “Certification of Eligibility for noncompetitive Hiring Based on PLC Service” from a design</w:t>
      </w:r>
      <w:r>
        <w:rPr>
          <w:rFonts w:ascii="Times New Roman" w:eastAsia="Times New Roman" w:hAnsi="Times New Roman" w:cs="Times New Roman"/>
          <w:color w:val="343434"/>
          <w:sz w:val="24"/>
          <w:szCs w:val="24"/>
        </w:rPr>
        <w:t>a</w:t>
      </w:r>
      <w:r>
        <w:rPr>
          <w:rFonts w:ascii="Times New Roman" w:eastAsia="Times New Roman" w:hAnsi="Times New Roman" w:cs="Times New Roman"/>
          <w:color w:val="1A1A1A"/>
          <w:sz w:val="24"/>
          <w:szCs w:val="24"/>
        </w:rPr>
        <w:t>ted agency official advising them of their eligibility for the PLC non-competitive hi</w:t>
      </w:r>
      <w:r>
        <w:rPr>
          <w:rFonts w:ascii="Times New Roman" w:eastAsia="Times New Roman" w:hAnsi="Times New Roman" w:cs="Times New Roman"/>
          <w:color w:val="1A1A1A"/>
          <w:sz w:val="24"/>
          <w:szCs w:val="24"/>
        </w:rPr>
        <w:t>ring status.</w:t>
      </w:r>
    </w:p>
    <w:p w:rsidR="00DD696B" w:rsidRDefault="00DD696B"/>
    <w:sectPr w:rsidR="00DD696B">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60" w:rsidRDefault="00C02B60">
      <w:pPr>
        <w:spacing w:line="240" w:lineRule="auto"/>
      </w:pPr>
      <w:r>
        <w:separator/>
      </w:r>
    </w:p>
  </w:endnote>
  <w:endnote w:type="continuationSeparator" w:id="0">
    <w:p w:rsidR="00C02B60" w:rsidRDefault="00C02B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6B" w:rsidRDefault="00C02B60">
    <w:pPr>
      <w:jc w:val="right"/>
    </w:pPr>
    <w:r>
      <w:fldChar w:fldCharType="begin"/>
    </w:r>
    <w:r>
      <w:instrText>PAGE</w:instrText>
    </w:r>
    <w:r>
      <w:fldChar w:fldCharType="separate"/>
    </w:r>
    <w:r w:rsidR="004844C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60" w:rsidRDefault="00C02B60">
      <w:pPr>
        <w:spacing w:line="240" w:lineRule="auto"/>
      </w:pPr>
      <w:r>
        <w:separator/>
      </w:r>
    </w:p>
  </w:footnote>
  <w:footnote w:type="continuationSeparator" w:id="0">
    <w:p w:rsidR="00C02B60" w:rsidRDefault="00C02B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6B" w:rsidRDefault="00C02B60">
    <w:pPr>
      <w:jc w:val="center"/>
    </w:pPr>
    <w:r>
      <w:t xml:space="preserve">Public Land Corps Hiring Authority FAQs </w:t>
    </w:r>
  </w:p>
  <w:p w:rsidR="00DD696B" w:rsidRDefault="00C02B60">
    <w:pPr>
      <w:jc w:val="center"/>
    </w:pPr>
    <w:r>
      <w:t>February 7,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6B"/>
    <w:rsid w:val="004844C1"/>
    <w:rsid w:val="00C02B60"/>
    <w:rsid w:val="00DD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8164F-0637-4CD1-9364-C236062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DworakRowland, Amanda J</dc:creator>
  <cp:lastModifiedBy>ADworakRowland</cp:lastModifiedBy>
  <cp:revision>2</cp:revision>
  <dcterms:created xsi:type="dcterms:W3CDTF">2017-03-24T14:49:00Z</dcterms:created>
  <dcterms:modified xsi:type="dcterms:W3CDTF">2017-03-24T14:49:00Z</dcterms:modified>
</cp:coreProperties>
</file>